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9C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小额零星业务通用条款</w:t>
      </w:r>
    </w:p>
    <w:p w14:paraId="2DCD8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楷体" w:hAnsi="楷体" w:eastAsia="楷体" w:cs="楷体"/>
          <w:sz w:val="24"/>
          <w:szCs w:val="24"/>
        </w:rPr>
      </w:pPr>
    </w:p>
    <w:p w14:paraId="4577A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一、总则</w:t>
      </w:r>
    </w:p>
    <w:p w14:paraId="0237E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《小额零星业务通用条款》（下称“本条款”）与甲方加盖有效公章的《委托通知单》（下称“委托单”）共同构成甲乙双方完整、合法、具备约束力的检验检测服务合同，二者不可分割，共同约束双方全部权利义务。</w:t>
      </w:r>
    </w:p>
    <w:p w14:paraId="7DD36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b w:val="0"/>
          <w:bCs w:val="0"/>
          <w:sz w:val="24"/>
          <w:szCs w:val="24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甲方填写、盖章并提交委托单，即代表甲方已完整阅读、清晰理解、自愿无条件接受本条款全部内容，甲方承诺不以“未单独阅读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通用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条款、未签署纸质正式合同、工作人员未告知”等任何理由否认本条款效力或提出抗辩。</w:t>
      </w:r>
    </w:p>
    <w:p w14:paraId="16447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乙方已通过官方网站持续公示本条款，甲方可随时免费查阅、下载，乙方已充分履行事前提示、公示告知义务，甲方确认不存在信息不对称、未告知等情形。</w:t>
      </w:r>
    </w:p>
    <w:p w14:paraId="6034E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本条款仅对加盖甲方有效公章的委托单对应业务生效，仅约束本次单笔检测委托事宜。</w:t>
      </w:r>
    </w:p>
    <w:p w14:paraId="3AD56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二、服务委托与履约规则</w:t>
      </w:r>
    </w:p>
    <w:p w14:paraId="33786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2.1 委托发起与服务启动流程</w:t>
      </w:r>
    </w:p>
    <w:p w14:paraId="78060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甲方需完整、真实填写委托主体、受检样品、生产信息、检测项目、执行标准、报告交付、样品处置、付款、保密等全部信息，加盖公章后提交乙方。</w:t>
      </w:r>
    </w:p>
    <w:p w14:paraId="71635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乙方收到信息完整、无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修改痕迹</w:t>
      </w:r>
      <w:r>
        <w:rPr>
          <w:rFonts w:hint="eastAsia" w:ascii="楷体" w:hAnsi="楷体" w:eastAsia="楷体" w:cs="楷体"/>
          <w:sz w:val="24"/>
          <w:szCs w:val="24"/>
        </w:rPr>
        <w:t>、盖章有效的委托单后，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履行内部审核程序后</w:t>
      </w:r>
      <w:r>
        <w:rPr>
          <w:rFonts w:hint="eastAsia" w:ascii="楷体" w:hAnsi="楷体" w:eastAsia="楷体" w:cs="楷体"/>
          <w:sz w:val="24"/>
          <w:szCs w:val="24"/>
        </w:rPr>
        <w:t>启动检测试验。</w:t>
      </w:r>
    </w:p>
    <w:p w14:paraId="46821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委托单存在信息缺失、手动涂改、未加盖有效公章等情形的，乙方有权拒绝接单，且不承担任何延误责任。</w:t>
      </w:r>
    </w:p>
    <w:p w14:paraId="14933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2.2 甲方权利与义务</w:t>
      </w:r>
    </w:p>
    <w:p w14:paraId="0C339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  <w:highlight w:val="yellow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>甲方保证委托单、样品配套资料全部信息真实、合法，不侵犯第三方知识产权、商标、产品技术权益，因信息虚假、侵权产生的全部赔偿、行政处罚、诉讼责任均由甲方独立承担。</w:t>
      </w:r>
    </w:p>
    <w:p w14:paraId="368EF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甲方应按双方约定时限完整提供合格检测样品、全套技术资料；若检测无现行国标/行标，甲方需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及时</w:t>
      </w:r>
      <w:r>
        <w:rPr>
          <w:rFonts w:hint="eastAsia" w:ascii="楷体" w:hAnsi="楷体" w:eastAsia="楷体" w:cs="楷体"/>
          <w:sz w:val="24"/>
          <w:szCs w:val="24"/>
        </w:rPr>
        <w:t>向乙方提供盖章版企业标准或正式试验大纲，未及时提供导致检测无法开展、延期的，全部损失由甲方承担。</w:t>
      </w:r>
    </w:p>
    <w:p w14:paraId="05A79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甲方人员进入乙方园区、试验场地开展现场配合工作，必须严格遵守乙方安全管理、环保管控、保密管理、现场操作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等</w:t>
      </w:r>
      <w:r>
        <w:rPr>
          <w:rFonts w:hint="eastAsia" w:ascii="楷体" w:hAnsi="楷体" w:eastAsia="楷体" w:cs="楷体"/>
          <w:sz w:val="24"/>
          <w:szCs w:val="24"/>
        </w:rPr>
        <w:t>全部规章制度；因甲方人员操作不当、违规行为造成设备损坏、安全事故、技术信息泄露的，甲方需全额赔偿乙方全部经济损失，并承担相应法律责任。</w:t>
      </w:r>
    </w:p>
    <w:p w14:paraId="7742F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样品运输、装卸、保管期间损毁、灭失风险及产生的物流、保险、包装费用，无论运输方由甲方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自行安排</w:t>
      </w:r>
      <w:r>
        <w:rPr>
          <w:rFonts w:hint="eastAsia" w:ascii="楷体" w:hAnsi="楷体" w:eastAsia="楷体" w:cs="楷体"/>
          <w:sz w:val="24"/>
          <w:szCs w:val="24"/>
        </w:rPr>
        <w:t>或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委托</w:t>
      </w:r>
      <w:r>
        <w:rPr>
          <w:rFonts w:hint="eastAsia" w:ascii="楷体" w:hAnsi="楷体" w:eastAsia="楷体" w:cs="楷体"/>
          <w:sz w:val="24"/>
          <w:szCs w:val="24"/>
        </w:rPr>
        <w:t>乙方代为安排，全部由甲方承担。委托乙方代为寄送样品的，相关运费、保价费由甲方另行支付。</w:t>
      </w:r>
    </w:p>
    <w:p w14:paraId="21697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检测服务完成、报告出具后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30天</w:t>
      </w:r>
      <w:r>
        <w:rPr>
          <w:rFonts w:hint="eastAsia" w:ascii="楷体" w:hAnsi="楷体" w:eastAsia="楷体" w:cs="楷体"/>
          <w:sz w:val="24"/>
          <w:szCs w:val="24"/>
        </w:rPr>
        <w:t>内，甲方需自行完成样品取回；逾期未主动取回且未提前书面约定留存方案的，乙方有权自行销毁、处置样品，样品损毁、丢失风险及处置费用全部归甲方承担。</w:t>
      </w:r>
    </w:p>
    <w:p w14:paraId="5FB53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因甲方补充样品、变更检测项目、延期提供资料、现场配合不到位等甲方单方原因造成检测工期延误、试验暂停的，甲方需配合乙方重新约定服务周期，并按乙方实际已完成试验进度结算阶段性费用。</w:t>
      </w:r>
    </w:p>
    <w:p w14:paraId="30D100C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-2147483648" w:line="240" w:lineRule="auto"/>
        <w:ind w:left="0" w:firstLine="480" w:firstLineChars="200"/>
        <w:textAlignment w:val="auto"/>
        <w:rPr>
          <w:rFonts w:hint="eastAsia" w:ascii="楷体" w:hAnsi="楷体" w:eastAsia="楷体" w:cs="楷体"/>
          <w:b w:val="0"/>
          <w:bCs w:val="0"/>
          <w:sz w:val="24"/>
        </w:rPr>
      </w:pPr>
      <w:r>
        <w:rPr>
          <w:rFonts w:hint="eastAsia" w:ascii="楷体" w:hAnsi="楷体" w:eastAsia="楷体" w:cs="楷体"/>
          <w:b w:val="0"/>
          <w:bCs w:val="0"/>
          <w:sz w:val="24"/>
        </w:rPr>
        <w:t>甲方应依照国家法律法规规范使用检验检测报告及原始数据，严禁擅自篡改、删减检验检测报告与数据；不得截取、选择性使用报告/数据，亦不得凭借报告、数据误导第三方</w:t>
      </w: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及社会公众</w:t>
      </w:r>
      <w:r>
        <w:rPr>
          <w:rFonts w:hint="eastAsia" w:ascii="楷体" w:hAnsi="楷体" w:eastAsia="楷体" w:cs="楷体"/>
          <w:b w:val="0"/>
          <w:bCs w:val="0"/>
          <w:sz w:val="24"/>
        </w:rPr>
        <w:t>。否则，由此导致的纠纷或损失由甲方自行负责处理</w:t>
      </w: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和</w:t>
      </w:r>
      <w:r>
        <w:rPr>
          <w:rFonts w:hint="eastAsia" w:ascii="楷体" w:hAnsi="楷体" w:eastAsia="楷体" w:cs="楷体"/>
          <w:b w:val="0"/>
          <w:bCs w:val="0"/>
          <w:sz w:val="24"/>
        </w:rPr>
        <w:t>承担。</w:t>
      </w:r>
    </w:p>
    <w:p w14:paraId="51A1E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b w:val="0"/>
          <w:bCs w:val="0"/>
          <w:sz w:val="24"/>
          <w:szCs w:val="24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2.3 乙方权利与义务</w:t>
      </w:r>
    </w:p>
    <w:p w14:paraId="4C367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b w:val="0"/>
          <w:bCs w:val="0"/>
          <w:sz w:val="24"/>
          <w:szCs w:val="24"/>
        </w:rPr>
      </w:pPr>
      <w:r>
        <w:rPr>
          <w:rFonts w:hint="eastAsia" w:ascii="楷体" w:hAnsi="楷体" w:eastAsia="楷体" w:cs="Times New Roman"/>
          <w:b w:val="0"/>
          <w:bCs w:val="0"/>
          <w:sz w:val="24"/>
          <w:lang w:val="en-US" w:eastAsia="zh-CN"/>
        </w:rPr>
        <w:t>乙方作为</w:t>
      </w:r>
      <w:r>
        <w:rPr>
          <w:rFonts w:hint="eastAsia" w:ascii="楷体" w:hAnsi="楷体" w:eastAsia="楷体" w:cs="Times New Roman"/>
          <w:b w:val="0"/>
          <w:bCs w:val="0"/>
          <w:sz w:val="24"/>
        </w:rPr>
        <w:t>第三方检验检测机构，依据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委托单载明的标准、检测项目、双方约定要求</w:t>
      </w:r>
      <w:r>
        <w:rPr>
          <w:rFonts w:hint="eastAsia" w:ascii="楷体" w:hAnsi="楷体" w:eastAsia="楷体" w:cs="Times New Roman"/>
          <w:b w:val="0"/>
          <w:bCs w:val="0"/>
          <w:sz w:val="24"/>
        </w:rPr>
        <w:t>，科学、公正</w:t>
      </w:r>
      <w:r>
        <w:rPr>
          <w:rFonts w:hint="eastAsia" w:ascii="楷体" w:hAnsi="楷体" w:eastAsia="楷体" w:cs="Times New Roman"/>
          <w:b w:val="0"/>
          <w:bCs w:val="0"/>
          <w:sz w:val="24"/>
          <w:lang w:val="en-US" w:eastAsia="zh-CN"/>
        </w:rPr>
        <w:t>地</w:t>
      </w:r>
      <w:r>
        <w:rPr>
          <w:rFonts w:hint="eastAsia" w:ascii="楷体" w:hAnsi="楷体" w:eastAsia="楷体" w:cs="Times New Roman"/>
          <w:b w:val="0"/>
          <w:bCs w:val="0"/>
          <w:sz w:val="24"/>
        </w:rPr>
        <w:t>为</w:t>
      </w:r>
      <w:r>
        <w:rPr>
          <w:rFonts w:hint="eastAsia" w:ascii="楷体" w:hAnsi="楷体" w:eastAsia="楷体" w:cs="Times New Roman"/>
          <w:b w:val="0"/>
          <w:bCs w:val="0"/>
          <w:sz w:val="24"/>
          <w:lang w:val="en-US" w:eastAsia="zh-CN"/>
        </w:rPr>
        <w:t>甲方</w:t>
      </w:r>
      <w:r>
        <w:rPr>
          <w:rFonts w:hint="eastAsia" w:ascii="楷体" w:hAnsi="楷体" w:eastAsia="楷体" w:cs="Times New Roman"/>
          <w:b w:val="0"/>
          <w:bCs w:val="0"/>
          <w:sz w:val="24"/>
        </w:rPr>
        <w:t>提供</w:t>
      </w:r>
      <w:r>
        <w:rPr>
          <w:rFonts w:hint="eastAsia" w:ascii="楷体" w:hAnsi="楷体" w:eastAsia="楷体" w:cs="Times New Roman"/>
          <w:b w:val="0"/>
          <w:bCs w:val="0"/>
          <w:sz w:val="24"/>
          <w:lang w:val="en-US" w:eastAsia="zh-CN"/>
        </w:rPr>
        <w:t>检验检测服务，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依规出具纸质/电子检测报告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highlight w:val="none"/>
        </w:rPr>
        <w:t>并按监管要求完成监管系统上传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。</w:t>
      </w:r>
      <w:r>
        <w:rPr>
          <w:rFonts w:hint="eastAsia" w:ascii="楷体" w:hAnsi="楷体" w:eastAsia="楷体" w:cs="Times New Roman"/>
          <w:b w:val="0"/>
          <w:bCs w:val="0"/>
          <w:sz w:val="24"/>
        </w:rPr>
        <w:t>不受</w:t>
      </w:r>
      <w:r>
        <w:rPr>
          <w:rFonts w:hint="eastAsia" w:ascii="楷体" w:hAnsi="楷体" w:eastAsia="楷体" w:cs="Times New Roman"/>
          <w:b w:val="0"/>
          <w:bCs w:val="0"/>
          <w:sz w:val="24"/>
          <w:lang w:val="en-US" w:eastAsia="zh-CN"/>
        </w:rPr>
        <w:t>甲方或利益相关方</w:t>
      </w:r>
      <w:r>
        <w:rPr>
          <w:rFonts w:hint="eastAsia" w:ascii="楷体" w:hAnsi="楷体" w:eastAsia="楷体" w:cs="Times New Roman"/>
          <w:b w:val="0"/>
          <w:bCs w:val="0"/>
          <w:sz w:val="24"/>
        </w:rPr>
        <w:t>任何可能干扰其技术独立性的行为影响。</w:t>
      </w:r>
    </w:p>
    <w:p w14:paraId="7AC84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服务完成判定标准：（1）公告、环保、营运等法规强制类检测：检测报告上传至官方监管系统，或向甲方交付完整检测报告 / 数据，即视为乙方已完整履行服务义务；（2）研发、委托类常规检测：向甲方交付完整检测报告、原始试验数据，即视为乙方履约完成；（3）因甲方样品、资料、配合问题导致检测不合格、未通过判定的，不视为乙方履约瑕疵，乙方有权全额收取约定检测费用。</w:t>
      </w:r>
    </w:p>
    <w:p w14:paraId="12C49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因地震、洪水、停电、设备重大故障等不可抗力导致试验中止的，乙方需第一时间书面通知甲方，双方按试验实际完成工作量结算对应费用。</w:t>
      </w:r>
    </w:p>
    <w:p w14:paraId="1D777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三、甲方合规承诺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：</w:t>
      </w:r>
    </w:p>
    <w:p w14:paraId="3BBB4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3.1</w:t>
      </w:r>
      <w:r>
        <w:rPr>
          <w:rFonts w:hint="eastAsia" w:ascii="楷体" w:hAnsi="楷体" w:eastAsia="楷体" w:cs="楷体"/>
          <w:sz w:val="24"/>
        </w:rPr>
        <w:t>甲方不得实施商业贿赂、利益输送，不得向乙方、招商局集团及其人员、家属输送不正当利益，否则乙方可无责解约，并要求甲方赔偿全部损失。</w:t>
      </w:r>
    </w:p>
    <w:p w14:paraId="05718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3.2</w:t>
      </w:r>
      <w:r>
        <w:rPr>
          <w:rFonts w:hint="eastAsia" w:ascii="楷体" w:hAnsi="楷体" w:eastAsia="楷体" w:cs="楷体"/>
          <w:sz w:val="24"/>
        </w:rPr>
        <w:t>甲方遵守与履行本合同有关国家和地区的进出口管制、制裁与反制裁法律，并确认在合同签订时甲方及关联方、实控人未被列入制裁清单；合同履行过程中涉及到管制物项的，甲方须向</w:t>
      </w:r>
      <w:r>
        <w:rPr>
          <w:rFonts w:hint="eastAsia" w:ascii="楷体" w:hAnsi="楷体" w:eastAsia="楷体" w:cs="楷体"/>
          <w:sz w:val="24"/>
          <w:lang w:val="en-US" w:eastAsia="zh-CN"/>
        </w:rPr>
        <w:t>乙方</w:t>
      </w:r>
      <w:r>
        <w:rPr>
          <w:rFonts w:hint="eastAsia" w:ascii="楷体" w:hAnsi="楷体" w:eastAsia="楷体" w:cs="楷体"/>
          <w:sz w:val="24"/>
        </w:rPr>
        <w:t>完整披露管制物项信息并配合核查。如因甲方进出口管制、制裁与反制裁法律，导致本合同无法履行、迟延履行或造成乙方或招商局集团被采取制裁或惩罚措施的，甲方应承担全部损失。</w:t>
      </w:r>
    </w:p>
    <w:p w14:paraId="7FD0D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四、费用、结算与票据规则</w:t>
      </w:r>
    </w:p>
    <w:p w14:paraId="130A7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4.1 计价标准</w:t>
      </w:r>
    </w:p>
    <w:p w14:paraId="7EA87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本条款项下所有报价、委托单载明金额均为含税人民币价格，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委托单载明金额为</w:t>
      </w:r>
      <w:r>
        <w:rPr>
          <w:rFonts w:hint="eastAsia" w:ascii="楷体" w:hAnsi="楷体" w:eastAsia="楷体" w:cs="楷体"/>
          <w:sz w:val="24"/>
          <w:szCs w:val="24"/>
        </w:rPr>
        <w:t>最终结算费用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金额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 w14:paraId="120EB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基础检测服务费参照乙方公开《标准费用清单》执行；报告翻译、拖车、场地租赁、燃油、样品保险等代收增值服务费用不参与折扣，另行计收税费及管理服务费。</w:t>
      </w:r>
    </w:p>
    <w:p w14:paraId="6082E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4.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sz w:val="24"/>
          <w:szCs w:val="24"/>
        </w:rPr>
        <w:t xml:space="preserve"> 付款要求</w:t>
      </w:r>
    </w:p>
    <w:p w14:paraId="117BE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结算唯一币种为人民币，仅支持对公银行转账，所有款项必须支付至委托单载明的乙方官方对公账户，现金、私户转账乙方不予认可。</w:t>
      </w:r>
    </w:p>
    <w:p w14:paraId="48DC6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委托单位与付款单位原则上必须为同一主体；甲方如需第三方代为付款，必须提前取得乙方书面盖章同意，否则委托单位仍承担全部付款义务与违约责任。</w:t>
      </w:r>
    </w:p>
    <w:p w14:paraId="55918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甲方应于</w:t>
      </w:r>
      <w:r>
        <w:rPr>
          <w:rFonts w:hint="eastAsia" w:ascii="楷体" w:hAnsi="楷体" w:eastAsia="楷体" w:cs="楷体"/>
          <w:sz w:val="24"/>
          <w:szCs w:val="24"/>
        </w:rPr>
        <w:t>乙方交付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检测</w:t>
      </w:r>
      <w:r>
        <w:rPr>
          <w:rFonts w:hint="eastAsia" w:ascii="楷体" w:hAnsi="楷体" w:eastAsia="楷体" w:cs="楷体"/>
          <w:sz w:val="24"/>
          <w:szCs w:val="24"/>
        </w:rPr>
        <w:t>报告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后15个自然日内支付委托单载明金额。</w:t>
      </w:r>
    </w:p>
    <w:p w14:paraId="1516A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五</w:t>
      </w:r>
      <w:r>
        <w:rPr>
          <w:rFonts w:hint="eastAsia" w:ascii="楷体" w:hAnsi="楷体" w:eastAsia="楷体" w:cs="楷体"/>
          <w:sz w:val="24"/>
          <w:szCs w:val="24"/>
        </w:rPr>
        <w:t>、违约责任</w:t>
      </w:r>
    </w:p>
    <w:p w14:paraId="0E78D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sz w:val="24"/>
          <w:szCs w:val="24"/>
        </w:rPr>
        <w:t>.1 甲方逾期付款违约</w:t>
      </w:r>
    </w:p>
    <w:p w14:paraId="41AE3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甲方未按约定足额、按时支付款项即构成逾期违约，自逾期当日起，以全部未付欠款为基数，按全国银行间同业拆借中心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公布的</w:t>
      </w:r>
      <w:r>
        <w:rPr>
          <w:rFonts w:hint="eastAsia" w:ascii="楷体" w:hAnsi="楷体" w:eastAsia="楷体" w:cs="楷体"/>
          <w:sz w:val="24"/>
          <w:szCs w:val="24"/>
        </w:rPr>
        <w:t>一年期LPR的1.5倍计算逾期违约金，直至全款结清。</w:t>
      </w:r>
    </w:p>
    <w:p w14:paraId="22258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甲方逾期付款产生的乙方维权费用（律师费、诉讼费、保全费、差旅费、鉴定费、公告费等）全部由甲方承担。</w:t>
      </w:r>
    </w:p>
    <w:p w14:paraId="4D07E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逾期半年以内：除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前述</w:t>
      </w:r>
      <w:r>
        <w:rPr>
          <w:rFonts w:hint="eastAsia" w:ascii="楷体" w:hAnsi="楷体" w:eastAsia="楷体" w:cs="楷体"/>
          <w:sz w:val="24"/>
          <w:szCs w:val="24"/>
        </w:rPr>
        <w:t>违约金外，额外按未付金额万分之五/日计收违约金；逾期满半年及以上，乙方有权永久终止双方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全部</w:t>
      </w:r>
      <w:r>
        <w:rPr>
          <w:rFonts w:hint="eastAsia" w:ascii="楷体" w:hAnsi="楷体" w:eastAsia="楷体" w:cs="楷体"/>
          <w:sz w:val="24"/>
          <w:szCs w:val="24"/>
        </w:rPr>
        <w:t>合作，并加收未付总金额5%的一次性违约金。</w:t>
      </w:r>
    </w:p>
    <w:p w14:paraId="04781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sz w:val="24"/>
          <w:szCs w:val="24"/>
        </w:rPr>
        <w:t>.2 乙方逾期履约违约</w:t>
      </w:r>
    </w:p>
    <w:p w14:paraId="16467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因乙方自身设备、人员、内部管理原因逾期出具报告：</w:t>
      </w:r>
    </w:p>
    <w:p w14:paraId="72B9F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逾期半年以内：乙方按对应检测总费用万分之五/日向甲方支付违约金；</w:t>
      </w:r>
    </w:p>
    <w:p w14:paraId="02D67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逾期满半年及以上：甲方可单方终止本次服务，乙方额外支付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对应</w:t>
      </w:r>
      <w:r>
        <w:rPr>
          <w:rFonts w:hint="eastAsia" w:ascii="楷体" w:hAnsi="楷体" w:eastAsia="楷体" w:cs="楷体"/>
          <w:sz w:val="24"/>
          <w:szCs w:val="24"/>
        </w:rPr>
        <w:t>检测总费用 5% 违约金。因甲方样品、资料、配合、变更需求、不可抗力导致延期的，乙方不承担任何逾期违约责任。</w:t>
      </w:r>
    </w:p>
    <w:p w14:paraId="59655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sz w:val="24"/>
          <w:szCs w:val="24"/>
        </w:rPr>
        <w:t>.3 单方解除违约</w:t>
      </w:r>
    </w:p>
    <w:p w14:paraId="40584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除双方协商一致、法定不可抗力情形外，任何一方无正当理由单方面终止本次检测服务，需向对方赔偿全部直接损失；完全因不可抗力无法继续履约的，提前30日书面通知对方可无责解除，双方按已完成工作量结算费用。</w:t>
      </w:r>
    </w:p>
    <w:p w14:paraId="0A050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六</w:t>
      </w:r>
      <w:r>
        <w:rPr>
          <w:rFonts w:hint="eastAsia" w:ascii="楷体" w:hAnsi="楷体" w:eastAsia="楷体" w:cs="楷体"/>
          <w:sz w:val="24"/>
          <w:szCs w:val="24"/>
        </w:rPr>
        <w:t>、保密条款</w:t>
      </w:r>
    </w:p>
    <w:p w14:paraId="58AD3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双方对本次合作获取的全部信息承担永久保密义务，保密范围包含但不限于：试验方案、检测原始数据、检测报告、产品技术参数、企业报价、双方客户信息、委托单全部资料、现场试验影像记录等全部涉密信息。</w:t>
      </w:r>
    </w:p>
    <w:p w14:paraId="451F6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未经对方书面盖章许可，任何一方不得向第三方泄露、复制、转发、商用、转让涉密信息；乙方仅可基于监管、审计、资质审核内部合规需求使用相关资料。</w:t>
      </w:r>
    </w:p>
    <w:p w14:paraId="4C2C2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本保密义务独立有效，不受本次业务结束、合同终止、合作到期、双方解约影响，永久持续生效。</w:t>
      </w:r>
    </w:p>
    <w:p w14:paraId="0DE61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违约责任认定与经济赔偿 接收方未严格履行本协议项下任何约定义务、作出任何违反本协议约定之行为，均构成实质性违约。接收方应立即承担全部违约责任，足额赔偿披露方因本次违约行为所产生的直接经济损失、间接经济损失、维权律师费、诉讼费、保全费、公证费、差旅费、调查取证费等一切实际损失，无任何减免、抵扣事由。</w:t>
      </w:r>
    </w:p>
    <w:p w14:paraId="0B9E3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违约救济方式明确约定 接收方自愿确认并承诺：针对本协议项下所有违约行为，单纯支付金钱损害赔偿金不足以完全弥补披露方全部合法权益损失，无法实现完整救济。据此，一旦发生违约情形，披露方有权单方主张全部合法司法救济途径，接收方不得提出任何异议、不得予以阻挠抗辩；披露方有权向有权司法机关申请判令接收方继续实际履行本协议、申请法院出具行为禁令制止违约行为、主张违约金、主张全额损失赔偿及法律法规支持的全部其他民事救济措施。</w:t>
      </w:r>
    </w:p>
    <w:p w14:paraId="1DE4E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若接收方出现泄密、擅自使用、转借、复制、对外披露协议相关涉密信息等核心违约行为，接收方须一次性向披露方支付固定违约金，违约金不足以弥补实际损失的，接收方仍需差额补足。因接收方违约导致披露方遭受第三方索赔、行政处罚、商业声誉受损等衍生损失，全部法律责任与经济赔付责任均由接收方独立全额承担。</w:t>
      </w:r>
    </w:p>
    <w:p w14:paraId="58F47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七</w:t>
      </w:r>
      <w:r>
        <w:rPr>
          <w:rFonts w:hint="eastAsia" w:ascii="楷体" w:hAnsi="楷体" w:eastAsia="楷体" w:cs="楷体"/>
          <w:sz w:val="24"/>
          <w:szCs w:val="24"/>
        </w:rPr>
        <w:t>、争议解决、通知送达规则</w:t>
      </w:r>
    </w:p>
    <w:p w14:paraId="229F1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7</w:t>
      </w:r>
      <w:r>
        <w:rPr>
          <w:rFonts w:hint="eastAsia" w:ascii="楷体" w:hAnsi="楷体" w:eastAsia="楷体" w:cs="楷体"/>
          <w:sz w:val="24"/>
          <w:szCs w:val="24"/>
        </w:rPr>
        <w:t>.1 争议解决</w:t>
      </w:r>
    </w:p>
    <w:p w14:paraId="6979C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因本条款、委托单、检测服务、费用结算、违约、样品处置等产生争议的，双方优先友好协商处理；协商无法达成一致的，任何一方均有权提交乙方住所地有管辖权的人民法院通过诉讼解决。</w:t>
      </w:r>
    </w:p>
    <w:p w14:paraId="03E49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7</w:t>
      </w:r>
      <w:r>
        <w:rPr>
          <w:rFonts w:hint="eastAsia" w:ascii="楷体" w:hAnsi="楷体" w:eastAsia="楷体" w:cs="楷体"/>
          <w:sz w:val="24"/>
          <w:szCs w:val="24"/>
        </w:rPr>
        <w:t>.2 通知送达规则</w:t>
      </w:r>
    </w:p>
    <w:p w14:paraId="70790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双方全部业务通知、结算单据、催告函、变更告知、司法文书均可通过现场当面交付、快递邮寄、传真、指定电子邮箱四类渠道送达；委托单预留的地址、联系方式自动作为双方法定司法送达地址。</w:t>
      </w:r>
    </w:p>
    <w:p w14:paraId="0C8B3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甲方联系方式、地址、邮箱发生变更的，需在变更后3个工作日内书面告知乙方；未及时更新信息导致文件无法送达、信息遗漏的，全部不利后果由甲方自行承担。</w:t>
      </w:r>
      <w:bookmarkStart w:id="0" w:name="_GoBack"/>
      <w:bookmarkEnd w:id="0"/>
    </w:p>
    <w:p w14:paraId="61840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非工作日、工作日17:00后接收的文件，统一顺延至下一个工作日视为正式送达生效。</w:t>
      </w:r>
    </w:p>
    <w:p w14:paraId="0871A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八</w:t>
      </w:r>
      <w:r>
        <w:rPr>
          <w:rFonts w:hint="eastAsia" w:ascii="楷体" w:hAnsi="楷体" w:eastAsia="楷体" w:cs="楷体"/>
          <w:sz w:val="24"/>
          <w:szCs w:val="24"/>
        </w:rPr>
        <w:t>、档案管理、条款效力与附则</w:t>
      </w:r>
    </w:p>
    <w:p w14:paraId="60875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8</w:t>
      </w:r>
      <w:r>
        <w:rPr>
          <w:rFonts w:hint="eastAsia" w:ascii="楷体" w:hAnsi="楷体" w:eastAsia="楷体" w:cs="楷体"/>
          <w:sz w:val="24"/>
          <w:szCs w:val="24"/>
        </w:rPr>
        <w:t>.1 全流程档案留存</w:t>
      </w:r>
    </w:p>
    <w:p w14:paraId="6E912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本次业务全部资料（委托单、沟通记录、样品资料、检测原始记录、报告、结算单据、催收函件等）由乙方统一线上线下归档留存，全程留痕可追溯，满足国资审计、税务稽查、CMA/CNAS资质评审、监管核查全部档案要求，档案保管年限按国家法律法规及乙方内部档案制度执行。</w:t>
      </w:r>
    </w:p>
    <w:p w14:paraId="0B739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8</w:t>
      </w:r>
      <w:r>
        <w:rPr>
          <w:rFonts w:hint="eastAsia" w:ascii="楷体" w:hAnsi="楷体" w:eastAsia="楷体" w:cs="楷体"/>
          <w:sz w:val="24"/>
          <w:szCs w:val="24"/>
        </w:rPr>
        <w:t>.2 协议生效与终止</w:t>
      </w:r>
    </w:p>
    <w:p w14:paraId="47FCF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单笔小额检测业务自甲方盖章委托单送达乙方之日起生效；乙方完成全部履约义务、双方所有款项结清后，本次委托业务项下权利义务自动终止。如甲乙双方曾签署框架合作协议，在框架合作协议到期、新协议尚未签署期间，该期间发生的全部小额检测业务，均适用本条款约束甲乙双方权利义务。</w:t>
      </w:r>
    </w:p>
    <w:p w14:paraId="32C5D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0FDF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9C3F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00B50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0F543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52AC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4F71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7CB2C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A3B8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45004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4DA0D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6EECF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43919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2CA9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1079C22">
      <w:pPr>
        <w:pStyle w:val="3"/>
        <w:spacing w:after="0"/>
        <w:jc w:val="center"/>
        <w:rPr>
          <w:rFonts w:hint="eastAsia" w:ascii="楷体" w:hAnsi="楷体" w:eastAsia="楷体" w:cs="楷体"/>
          <w:sz w:val="24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</w:rPr>
        <w:t xml:space="preserve">委托通知单 </w:t>
      </w:r>
      <w:r>
        <w:rPr>
          <w:rFonts w:hint="eastAsia" w:ascii="楷体" w:hAnsi="楷体" w:eastAsia="楷体" w:cs="楷体"/>
          <w:sz w:val="24"/>
          <w:szCs w:val="24"/>
        </w:rPr>
        <w:t xml:space="preserve">  （确定项在□内打√）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编号：</w:t>
      </w:r>
    </w:p>
    <w:tbl>
      <w:tblPr>
        <w:tblStyle w:val="5"/>
        <w:tblpPr w:leftFromText="180" w:rightFromText="180" w:vertAnchor="text" w:tblpXSpec="center" w:tblpY="1"/>
        <w:tblOverlap w:val="never"/>
        <w:tblW w:w="6105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917"/>
        <w:gridCol w:w="943"/>
        <w:gridCol w:w="953"/>
        <w:gridCol w:w="1301"/>
        <w:gridCol w:w="930"/>
        <w:gridCol w:w="1107"/>
        <w:gridCol w:w="46"/>
        <w:gridCol w:w="1211"/>
        <w:gridCol w:w="1141"/>
        <w:gridCol w:w="1259"/>
      </w:tblGrid>
      <w:tr w14:paraId="03FFA8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DC60C4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委</w:t>
            </w:r>
          </w:p>
          <w:p w14:paraId="5CCB5BFD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  <w:p w14:paraId="50BED765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托</w:t>
            </w:r>
          </w:p>
          <w:p w14:paraId="44E45387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  <w:p w14:paraId="15CA4D9D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单</w:t>
            </w:r>
          </w:p>
          <w:p w14:paraId="10E6A215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  <w:p w14:paraId="4DEDDC2A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位</w:t>
            </w:r>
          </w:p>
          <w:p w14:paraId="69C98234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  <w:p w14:paraId="660F3659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填</w:t>
            </w:r>
          </w:p>
          <w:p w14:paraId="1DF4B73A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  <w:p w14:paraId="406E5965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写</w:t>
            </w:r>
          </w:p>
        </w:tc>
        <w:tc>
          <w:tcPr>
            <w:tcW w:w="440" w:type="pct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DFCC63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委托单位</w:t>
            </w:r>
          </w:p>
        </w:tc>
        <w:tc>
          <w:tcPr>
            <w:tcW w:w="453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CE3C10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名  称</w:t>
            </w:r>
          </w:p>
        </w:tc>
        <w:tc>
          <w:tcPr>
            <w:tcW w:w="2061" w:type="pct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35ADB2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185486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邮    编</w:t>
            </w:r>
          </w:p>
        </w:tc>
        <w:tc>
          <w:tcPr>
            <w:tcW w:w="1153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E4CB3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39B76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56715BE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440" w:type="pct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EBA10B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453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AA75A3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地  址</w:t>
            </w:r>
          </w:p>
        </w:tc>
        <w:tc>
          <w:tcPr>
            <w:tcW w:w="2061" w:type="pct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385B5E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A19FCE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电    话</w:t>
            </w:r>
          </w:p>
        </w:tc>
        <w:tc>
          <w:tcPr>
            <w:tcW w:w="1153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69148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4B0242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4CA9A1D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440" w:type="pct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C586A9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453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23D054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联系人</w:t>
            </w:r>
          </w:p>
        </w:tc>
        <w:tc>
          <w:tcPr>
            <w:tcW w:w="108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3DC270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46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0196BF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手机</w:t>
            </w:r>
          </w:p>
        </w:tc>
        <w:tc>
          <w:tcPr>
            <w:tcW w:w="531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1D6C60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5CCFCE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传    真</w:t>
            </w:r>
          </w:p>
        </w:tc>
        <w:tc>
          <w:tcPr>
            <w:tcW w:w="1153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E9F42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572DA7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288805B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440" w:type="pct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91C5AB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453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6940B1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账  号</w:t>
            </w:r>
          </w:p>
        </w:tc>
        <w:tc>
          <w:tcPr>
            <w:tcW w:w="2061" w:type="pct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B09569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D353BF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153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346F0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436E4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3E70667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C51A9B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受检单位</w:t>
            </w:r>
          </w:p>
        </w:tc>
        <w:tc>
          <w:tcPr>
            <w:tcW w:w="3818" w:type="pct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9053D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2AFB4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6D8F74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32F153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生产单位</w:t>
            </w:r>
          </w:p>
        </w:tc>
        <w:tc>
          <w:tcPr>
            <w:tcW w:w="2061" w:type="pct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9A5319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54F540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生产日期</w:t>
            </w:r>
          </w:p>
        </w:tc>
        <w:tc>
          <w:tcPr>
            <w:tcW w:w="1153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A6AE6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65C7E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C666403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C2A3EF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样品名称</w:t>
            </w:r>
          </w:p>
        </w:tc>
        <w:tc>
          <w:tcPr>
            <w:tcW w:w="2061" w:type="pct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AEFC94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    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  <w:r>
              <w:rPr>
                <w:rFonts w:hint="eastAsia" w:ascii="楷体" w:hAnsi="楷体" w:eastAsia="楷体" w:cs="楷体"/>
                <w:sz w:val="24"/>
              </w:rPr>
              <w:t xml:space="preserve">  （可附表）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A8256F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商    标</w:t>
            </w:r>
          </w:p>
        </w:tc>
        <w:tc>
          <w:tcPr>
            <w:tcW w:w="1153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C020F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0D7E21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EE93E18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552AC7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型    号</w:t>
            </w:r>
          </w:p>
        </w:tc>
        <w:tc>
          <w:tcPr>
            <w:tcW w:w="2061" w:type="pct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539676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    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  <w:r>
              <w:rPr>
                <w:rFonts w:hint="eastAsia" w:ascii="楷体" w:hAnsi="楷体" w:eastAsia="楷体" w:cs="楷体"/>
                <w:sz w:val="24"/>
              </w:rPr>
              <w:t xml:space="preserve">  （可附表）</w:t>
            </w:r>
          </w:p>
        </w:tc>
        <w:tc>
          <w:tcPr>
            <w:tcW w:w="60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7EFF19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样品数量</w:t>
            </w:r>
          </w:p>
        </w:tc>
        <w:tc>
          <w:tcPr>
            <w:tcW w:w="1153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62E935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16BDC8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539AF33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5D386C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检验类别</w:t>
            </w:r>
          </w:p>
        </w:tc>
        <w:tc>
          <w:tcPr>
            <w:tcW w:w="2665" w:type="pct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528F6F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□公告检验  □环保检验  □达标车型 □3C检验    </w:t>
            </w:r>
          </w:p>
          <w:p w14:paraId="4A935067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□出口检验  □委托检验  □其它：          </w:t>
            </w:r>
          </w:p>
        </w:tc>
        <w:tc>
          <w:tcPr>
            <w:tcW w:w="1153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0859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□  抽样</w:t>
            </w:r>
          </w:p>
          <w:p w14:paraId="3EBF682C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□  送样</w:t>
            </w:r>
          </w:p>
        </w:tc>
      </w:tr>
      <w:tr w14:paraId="0BF5D7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9AAD009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86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CE79D2">
            <w:pPr>
              <w:pStyle w:val="3"/>
              <w:spacing w:after="0" w:line="240" w:lineRule="auto"/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业务开展</w:t>
            </w:r>
          </w:p>
          <w:p w14:paraId="7A2966AA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地点</w:t>
            </w:r>
          </w:p>
        </w:tc>
        <w:tc>
          <w:tcPr>
            <w:tcW w:w="7948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B7B48">
            <w:pPr>
              <w:spacing w:after="0" w:line="276" w:lineRule="auto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金凤场所  </w:t>
            </w:r>
            <w:r>
              <w:rPr>
                <w:rFonts w:hint="eastAsia" w:ascii="楷体" w:hAnsi="楷体" w:eastAsia="楷体" w:cs="楷体"/>
                <w:sz w:val="24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合肥场所  </w:t>
            </w:r>
            <w:r>
              <w:rPr>
                <w:rFonts w:hint="eastAsia" w:ascii="楷体" w:hAnsi="楷体" w:eastAsia="楷体" w:cs="楷体"/>
                <w:sz w:val="24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金山场所  </w:t>
            </w:r>
            <w:r>
              <w:rPr>
                <w:rFonts w:hint="eastAsia" w:ascii="楷体" w:hAnsi="楷体" w:eastAsia="楷体" w:cs="楷体"/>
                <w:sz w:val="24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沙坪坝场所 </w:t>
            </w:r>
          </w:p>
          <w:p w14:paraId="1E3D9137">
            <w:pPr>
              <w:pStyle w:val="3"/>
              <w:spacing w:after="0"/>
              <w:jc w:val="both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惠州场所  </w:t>
            </w:r>
            <w:r>
              <w:rPr>
                <w:rFonts w:hint="eastAsia" w:ascii="楷体" w:hAnsi="楷体" w:eastAsia="楷体" w:cs="楷体"/>
                <w:sz w:val="24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天津场所  </w:t>
            </w:r>
            <w:r>
              <w:rPr>
                <w:rFonts w:hint="eastAsia" w:ascii="楷体" w:hAnsi="楷体" w:eastAsia="楷体" w:cs="楷体"/>
                <w:sz w:val="24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深圳坪山场所    </w:t>
            </w:r>
          </w:p>
        </w:tc>
      </w:tr>
      <w:tr w14:paraId="679D0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7E86F63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1EC61C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检验项目</w:t>
            </w:r>
          </w:p>
          <w:p w14:paraId="680AE463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及依据</w:t>
            </w:r>
          </w:p>
        </w:tc>
        <w:tc>
          <w:tcPr>
            <w:tcW w:w="2665" w:type="pct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57CC78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□公告项目及标准      □达标车型项目及标准   □其它（项目及标准，可附表）：</w:t>
            </w:r>
          </w:p>
        </w:tc>
        <w:tc>
          <w:tcPr>
            <w:tcW w:w="548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499B44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是否需要纸质报告</w:t>
            </w:r>
          </w:p>
        </w:tc>
        <w:tc>
          <w:tcPr>
            <w:tcW w:w="60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B4237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□  是</w:t>
            </w:r>
          </w:p>
          <w:p w14:paraId="0507AA1A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□  否</w:t>
            </w:r>
          </w:p>
        </w:tc>
      </w:tr>
      <w:tr w14:paraId="6625E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A1CA04F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63B225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样品处置</w:t>
            </w:r>
          </w:p>
        </w:tc>
        <w:tc>
          <w:tcPr>
            <w:tcW w:w="3818" w:type="pct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D5A53">
            <w:pPr>
              <w:pStyle w:val="3"/>
              <w:spacing w:after="0"/>
              <w:jc w:val="left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处置方式：自愿放弃□   自取□  销毁□   邮寄□  其它□</w:t>
            </w:r>
          </w:p>
          <w:p w14:paraId="0F2B75AD">
            <w:pPr>
              <w:pStyle w:val="3"/>
              <w:spacing w:after="0"/>
              <w:jc w:val="left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如果委托方未明确提出样品处置方式，或委托发送未支付费用，样品将在检验完成30天后由招商车研处理（特殊要求除外）。    </w:t>
            </w:r>
          </w:p>
          <w:p w14:paraId="3B57EC6D">
            <w:pPr>
              <w:pStyle w:val="3"/>
              <w:spacing w:after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委托招商车研发送□（由委托方支付费用）</w:t>
            </w:r>
          </w:p>
        </w:tc>
      </w:tr>
      <w:tr w14:paraId="74F0D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23A35E7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4712" w:type="pct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7FEEB">
            <w:pPr>
              <w:pStyle w:val="3"/>
              <w:spacing w:after="0"/>
              <w:jc w:val="left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声明：委托方对检验样品及其相关信息的真实性负责，并不侵犯知识产权。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若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本委托单未关联双方已签署的任何合同，乙方已在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公司官网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https://www.cmvr.com.cn/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lang w:val="en-US" w:eastAsia="zh-CN"/>
              </w:rPr>
              <w:t>公示《小额零星业务通用条款》，甲方应在盖章前自行查阅乙方公示的《小额零星业务通用条款》。签章本委托单，视为已完整阅读、充分理解并无条件接受《小额零星业务通用条款》的全部内容，该通用条款与本委托单一并构成双方权利义务的约定。</w:t>
            </w:r>
          </w:p>
          <w:p w14:paraId="366F9EE0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  <w:p w14:paraId="327D0A78">
            <w:pPr>
              <w:pStyle w:val="3"/>
              <w:spacing w:after="0"/>
              <w:jc w:val="left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法定代表人（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指定联系人</w:t>
            </w:r>
            <w:r>
              <w:rPr>
                <w:rFonts w:hint="eastAsia" w:ascii="楷体" w:hAnsi="楷体" w:eastAsia="楷体" w:cs="楷体"/>
                <w:sz w:val="24"/>
              </w:rPr>
              <w:t xml:space="preserve">）签字/盖章：     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  <w:r>
              <w:rPr>
                <w:rFonts w:hint="eastAsia" w:ascii="楷体" w:hAnsi="楷体" w:eastAsia="楷体" w:cs="楷体"/>
                <w:sz w:val="24"/>
              </w:rPr>
              <w:t>年</w:t>
            </w: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4"/>
              </w:rPr>
              <w:t>月</w:t>
            </w: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4"/>
              </w:rPr>
              <w:t>日</w:t>
            </w:r>
          </w:p>
        </w:tc>
      </w:tr>
      <w:tr w14:paraId="28AB6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DACDB3F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检测机构填写</w:t>
            </w:r>
          </w:p>
        </w:tc>
        <w:tc>
          <w:tcPr>
            <w:tcW w:w="1351" w:type="pct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475F40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任务号：</w:t>
            </w:r>
          </w:p>
        </w:tc>
        <w:tc>
          <w:tcPr>
            <w:tcW w:w="3361" w:type="pct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D0468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检验费用：□应收                 元</w:t>
            </w:r>
          </w:p>
          <w:p w14:paraId="4172E144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业务启动前支付  </w:t>
            </w:r>
            <w:r>
              <w:rPr>
                <w:rFonts w:hint="eastAsia" w:ascii="楷体" w:hAnsi="楷体" w:eastAsia="楷体" w:cs="楷体"/>
                <w:sz w:val="24"/>
              </w:rPr>
              <w:t>□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成果交付后支付  </w:t>
            </w:r>
          </w:p>
        </w:tc>
      </w:tr>
      <w:tr w14:paraId="06A4E6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1EF766F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351" w:type="pct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4645D9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项目负责人：</w:t>
            </w:r>
          </w:p>
        </w:tc>
        <w:tc>
          <w:tcPr>
            <w:tcW w:w="3361" w:type="pct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F61C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项目负责部门：</w:t>
            </w: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4F63B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DB6DCDD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351" w:type="pct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90A0DA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样品是否需要特殊保密：</w:t>
            </w:r>
          </w:p>
        </w:tc>
        <w:tc>
          <w:tcPr>
            <w:tcW w:w="3361" w:type="pct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0C474">
            <w:pPr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□否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□是（原因：□原型样件或原型车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□客户要求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□其它）</w:t>
            </w:r>
          </w:p>
        </w:tc>
      </w:tr>
      <w:tr w14:paraId="57A5D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74AA870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4712" w:type="pct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59E42">
            <w:pPr>
              <w:pStyle w:val="3"/>
              <w:spacing w:after="0"/>
              <w:jc w:val="left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计划报告完成时间（有特殊要求的填写此项）：</w:t>
            </w: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7A4BF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5337DE4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4712" w:type="pct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B3FF1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填表人（签字）：                      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  <w:r>
              <w:rPr>
                <w:rFonts w:hint="eastAsia" w:ascii="楷体" w:hAnsi="楷体" w:eastAsia="楷体" w:cs="楷体"/>
                <w:sz w:val="24"/>
              </w:rPr>
              <w:t>年</w:t>
            </w: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4"/>
              </w:rPr>
              <w:t>月</w:t>
            </w: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4"/>
              </w:rPr>
              <w:t>日</w:t>
            </w:r>
          </w:p>
        </w:tc>
      </w:tr>
      <w:tr w14:paraId="1BEFC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CEF219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收</w:t>
            </w:r>
            <w:r>
              <w:rPr>
                <w:rFonts w:hint="eastAsia" w:ascii="楷体" w:hAnsi="楷体" w:eastAsia="楷体" w:cs="楷体"/>
                <w:sz w:val="24"/>
              </w:rPr>
              <w:t>款方式</w:t>
            </w:r>
          </w:p>
        </w:tc>
        <w:tc>
          <w:tcPr>
            <w:tcW w:w="1351" w:type="pct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918C63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收款单位</w:t>
            </w:r>
          </w:p>
        </w:tc>
        <w:tc>
          <w:tcPr>
            <w:tcW w:w="3361" w:type="pct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5F68A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招商局检测车辆技术研究院有限公司</w:t>
            </w:r>
          </w:p>
        </w:tc>
      </w:tr>
      <w:tr w14:paraId="54E52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C7CFF3A">
            <w:pPr>
              <w:pStyle w:val="3"/>
              <w:spacing w:after="0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351" w:type="pct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AE4DD4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单位地址</w:t>
            </w:r>
          </w:p>
        </w:tc>
        <w:tc>
          <w:tcPr>
            <w:tcW w:w="1625" w:type="pct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F1FD54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重庆市高新区新金大道9号</w:t>
            </w:r>
          </w:p>
        </w:tc>
        <w:tc>
          <w:tcPr>
            <w:tcW w:w="1130" w:type="pct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D3FC32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联系人</w:t>
            </w:r>
          </w:p>
        </w:tc>
        <w:tc>
          <w:tcPr>
            <w:tcW w:w="60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3B075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余冬冬</w:t>
            </w:r>
          </w:p>
        </w:tc>
      </w:tr>
      <w:tr w14:paraId="4E694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0C1AA24">
            <w:pPr>
              <w:pStyle w:val="3"/>
              <w:spacing w:after="0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351" w:type="pct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DC50A4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账    号</w:t>
            </w:r>
          </w:p>
        </w:tc>
        <w:tc>
          <w:tcPr>
            <w:tcW w:w="1625" w:type="pct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AA94C1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123905051110805 </w:t>
            </w:r>
          </w:p>
        </w:tc>
        <w:tc>
          <w:tcPr>
            <w:tcW w:w="581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2E9550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电   话</w:t>
            </w:r>
          </w:p>
        </w:tc>
        <w:tc>
          <w:tcPr>
            <w:tcW w:w="1153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E9236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023-63426218</w:t>
            </w:r>
          </w:p>
        </w:tc>
      </w:tr>
      <w:tr w14:paraId="709CC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2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1DE8970">
            <w:pPr>
              <w:pStyle w:val="3"/>
              <w:spacing w:after="0"/>
              <w:rPr>
                <w:rFonts w:hint="eastAsia" w:ascii="楷体" w:hAnsi="楷体" w:eastAsia="楷体" w:cs="楷体"/>
                <w:sz w:val="24"/>
              </w:rPr>
            </w:pPr>
          </w:p>
        </w:tc>
        <w:tc>
          <w:tcPr>
            <w:tcW w:w="1351" w:type="pct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67C832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开 户 行</w:t>
            </w:r>
          </w:p>
        </w:tc>
        <w:tc>
          <w:tcPr>
            <w:tcW w:w="1625" w:type="pct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299C0B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招商银行重庆西部科学城支行</w:t>
            </w:r>
          </w:p>
        </w:tc>
        <w:tc>
          <w:tcPr>
            <w:tcW w:w="581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135C02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邮   编</w:t>
            </w:r>
          </w:p>
        </w:tc>
        <w:tc>
          <w:tcPr>
            <w:tcW w:w="1153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908AF">
            <w:pPr>
              <w:pStyle w:val="3"/>
              <w:spacing w:after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401329</w:t>
            </w:r>
          </w:p>
        </w:tc>
      </w:tr>
    </w:tbl>
    <w:p w14:paraId="43CE7A2C">
      <w:pPr>
        <w:spacing w:line="500" w:lineRule="exact"/>
        <w:rPr>
          <w:rFonts w:hint="eastAsia" w:ascii="楷体" w:hAnsi="楷体" w:eastAsia="楷体" w:cs="楷体"/>
          <w:b/>
          <w:sz w:val="24"/>
        </w:rPr>
      </w:pPr>
      <w:r>
        <w:rPr>
          <w:rFonts w:hint="eastAsia" w:ascii="楷体" w:hAnsi="楷体" w:eastAsia="楷体" w:cs="楷体"/>
          <w:b/>
          <w:sz w:val="24"/>
        </w:rPr>
        <w:br w:type="page"/>
      </w:r>
      <w:r>
        <w:rPr>
          <w:rFonts w:hint="eastAsia" w:ascii="楷体" w:hAnsi="楷体" w:eastAsia="楷体" w:cs="楷体"/>
          <w:b/>
          <w:sz w:val="24"/>
        </w:rPr>
        <w:t>附件2：样品及检测信息表</w:t>
      </w:r>
    </w:p>
    <w:tbl>
      <w:tblPr>
        <w:tblStyle w:val="5"/>
        <w:tblpPr w:leftFromText="180" w:rightFromText="180" w:vertAnchor="text" w:horzAnchor="page" w:tblpX="1820" w:tblpY="173"/>
        <w:tblOverlap w:val="never"/>
        <w:tblW w:w="4784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7"/>
        <w:gridCol w:w="1877"/>
        <w:gridCol w:w="1555"/>
        <w:gridCol w:w="809"/>
        <w:gridCol w:w="1050"/>
        <w:gridCol w:w="1366"/>
        <w:gridCol w:w="762"/>
      </w:tblGrid>
      <w:tr w14:paraId="1EF009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</w:trPr>
        <w:tc>
          <w:tcPr>
            <w:tcW w:w="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42B933">
            <w:pPr>
              <w:widowControl/>
              <w:jc w:val="center"/>
              <w:textAlignment w:val="bottom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E452BB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Cs w:val="21"/>
                <w:lang w:bidi="ar"/>
              </w:rPr>
              <w:t>样品名称</w:t>
            </w:r>
          </w:p>
        </w:tc>
        <w:tc>
          <w:tcPr>
            <w:tcW w:w="9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58A6C1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Cs w:val="21"/>
                <w:lang w:bidi="ar"/>
              </w:rPr>
              <w:t>样品型号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E20227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Cs w:val="21"/>
                <w:lang w:bidi="ar"/>
              </w:rPr>
              <w:t>数量</w:t>
            </w: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F4B4CE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kern w:val="0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Cs w:val="21"/>
                <w:lang w:bidi="ar"/>
              </w:rPr>
              <w:t>生产日期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E4C4C9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kern w:val="0"/>
                <w:szCs w:val="21"/>
                <w:lang w:bidi="ar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Cs w:val="21"/>
                <w:lang w:bidi="ar"/>
              </w:rPr>
              <w:t>检测项目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13B1F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Cs w:val="21"/>
              </w:rPr>
              <w:t>备注</w:t>
            </w:r>
          </w:p>
        </w:tc>
      </w:tr>
      <w:tr w14:paraId="0EB0E9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34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C3A3D0">
            <w:pPr>
              <w:widowControl/>
              <w:jc w:val="center"/>
              <w:textAlignment w:val="bottom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DD9ADF">
            <w:pPr>
              <w:widowControl/>
              <w:jc w:val="center"/>
              <w:textAlignment w:val="bottom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4A4D63">
            <w:pPr>
              <w:widowControl/>
              <w:jc w:val="center"/>
              <w:textAlignment w:val="bottom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A13D70">
            <w:pPr>
              <w:widowControl/>
              <w:jc w:val="center"/>
              <w:textAlignment w:val="bottom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22F5F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9BCCC3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866885">
            <w:pPr>
              <w:widowControl/>
              <w:jc w:val="center"/>
              <w:textAlignment w:val="bottom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06412A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C497AC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382D2A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F2F78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A48E46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F8F04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DCE781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E48921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0A18B2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A6C21E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E39A91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07F38D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E86A6A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4AA69A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F42928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10BB97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40EC83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082813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AC4F3C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CCBD59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B40EF0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04D7D6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94B5C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C32FBA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5E864E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55F437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CCBCA3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E29249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011F69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7F72D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25458C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8ECA1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0BE06D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216AA5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2D71E1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D6C27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BE84A4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8B306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865406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6A029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2FC661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70C675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E4A0F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76EA8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A2439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CA2EE9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57F89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FDD9D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2C7138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15ED16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090BC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ED2C9D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5DE024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8D70C7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E64A8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507E5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3EF862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174847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69F6C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BDDA9E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C53FF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EEDD0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6B2C97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B09E76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7A1E5F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B894A9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216FE6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C80250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B0429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8F2C8D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ABFF70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6F107A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5B2A6C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26820C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B7D968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D4F50D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9B78C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C4E451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A46E01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E0B3DD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3D6B63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EED477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5074A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4FA3C4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5A2907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4D324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AD28D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57DB7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56493F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D06CF1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91ECC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DEAAF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510C8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938114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C82F7D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EF1D9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7CFA5B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6C27C6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6F6694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DA0A8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5C92DC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C42ABA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8747F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D325F0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010CC8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C17BD9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070223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6F4EAD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19FF09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AA702D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427CBA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A27A2D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0564DD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B2A45C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67D019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6E774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EF71DE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3ED128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E22DD9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245B23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558F41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B011AF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E4E73C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DFC2B6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66EED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22CDD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35663D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753B30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0B40AD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3F33E4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FC8CE0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FA9DD8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9147D1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7D6B3A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62C663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BC8633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6D4C2D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65E208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6FBD54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6F5017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587BF3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E7079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218FD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80CA54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194C69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FC44F4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594F1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2903D9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3350D7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55EBE6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41A231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50828C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292FD5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E0B656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583D5E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A8C60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3E0B4A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A6F9A7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A7547D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6E6643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6A421F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4BC485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DA2A9B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5B0579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2367C8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2E592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B43AA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245570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0375A3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1DB683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8EEB67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269C6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8B1E9E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1D7738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6C3188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FD8AE1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68AD12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FBD39D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8FC83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18D0F8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A67379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7CD96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AD8DCA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BBB516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2CC9B7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0F982E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0A007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29FF40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EDCED8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4A53F9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F121EF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91985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  <w:tr w14:paraId="757E7C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78B4A0">
            <w:pPr>
              <w:jc w:val="center"/>
              <w:rPr>
                <w:rFonts w:hint="eastAsia" w:ascii="楷体" w:hAnsi="楷体" w:eastAsia="楷体" w:cs="楷体"/>
                <w:b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11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E7621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D18C343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577141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D64895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652F3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956FA2">
            <w:pPr>
              <w:jc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shd w:val="pct10" w:color="auto" w:fill="FFFFFF"/>
              </w:rPr>
              <w:t xml:space="preserve">      </w:t>
            </w:r>
          </w:p>
        </w:tc>
      </w:tr>
    </w:tbl>
    <w:p w14:paraId="24266543">
      <w:pPr>
        <w:spacing w:line="500" w:lineRule="exact"/>
        <w:rPr>
          <w:rFonts w:hint="eastAsia" w:ascii="楷体" w:hAnsi="楷体" w:eastAsia="楷体" w:cs="楷体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873EF"/>
    <w:rsid w:val="09116026"/>
    <w:rsid w:val="1A8C707A"/>
    <w:rsid w:val="1F8158BB"/>
    <w:rsid w:val="1FDB2273"/>
    <w:rsid w:val="22813A7B"/>
    <w:rsid w:val="233C49F9"/>
    <w:rsid w:val="3F9F287C"/>
    <w:rsid w:val="41F56F98"/>
    <w:rsid w:val="50EE4A60"/>
    <w:rsid w:val="5CF1718A"/>
    <w:rsid w:val="64821AF4"/>
    <w:rsid w:val="6A4F2F43"/>
    <w:rsid w:val="6B776AB1"/>
    <w:rsid w:val="7907682F"/>
    <w:rsid w:val="7E58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 w:afterLines="0"/>
    </w:p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2379</Words>
  <Characters>2396</Characters>
  <Lines>0</Lines>
  <Paragraphs>0</Paragraphs>
  <TotalTime>11</TotalTime>
  <ScaleCrop>false</ScaleCrop>
  <LinksUpToDate>false</LinksUpToDate>
  <CharactersWithSpaces>2402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2026-01-27T01:32:00Z</dcterms:created>
  <dc:creator>yddri</dc:creator>
  <cp:lastModifiedBy>钟</cp:lastModifiedBy>
  <cp:lastPrinted>2026-08-14T07:12:00Z</cp:lastPrinted>
  <dcterms:modified xsi:type="dcterms:W3CDTF">2026-08-27T01:45:10Z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215738143DD6477FAFEC3A558EAF0A85_13</vt:lpwstr>
  </property>
  <property fmtid="{D5CDD505-2E9C-101B-9397-08002B2CF9AE}" pid="4" name="KSOTemplateDocerSaveRecord">
    <vt:lpwstr>eyJoZGlkIjoiYTc2ZGZiNzZiNDVlOGViOWVmM2JhOTY0NGJkNjUyYzgiLCJ1c2VySWQiOiI5NzY5MzgzOTAifQ==</vt:lpwstr>
  </property>
</Properties>
</file>